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12E0" w:rsidRPr="00AC5CDB" w:rsidRDefault="00BC12E0" w:rsidP="00BC12E0">
      <w:pPr>
        <w:spacing w:before="100" w:beforeAutospacing="1" w:after="100" w:afterAutospacing="1" w:line="240" w:lineRule="auto"/>
        <w:jc w:val="center"/>
        <w:outlineLvl w:val="0"/>
        <w:rPr>
          <w:rFonts w:asciiTheme="majorBidi" w:eastAsia="Times New Roman" w:hAnsiTheme="majorBidi" w:cstheme="majorBidi"/>
          <w:b/>
          <w:bCs/>
          <w:color w:val="D85F05"/>
          <w:kern w:val="36"/>
          <w:sz w:val="28"/>
          <w:szCs w:val="28"/>
        </w:rPr>
      </w:pPr>
      <w:bookmarkStart w:id="0" w:name="app4"/>
      <w:r w:rsidRPr="00AC5CDB">
        <w:rPr>
          <w:rFonts w:asciiTheme="majorBidi" w:eastAsia="Times New Roman" w:hAnsiTheme="majorBidi" w:cstheme="majorBidi"/>
          <w:b/>
          <w:bCs/>
          <w:color w:val="D85F05"/>
          <w:kern w:val="36"/>
          <w:sz w:val="28"/>
          <w:szCs w:val="28"/>
          <w:u w:val="single"/>
        </w:rPr>
        <w:t>APPENDIX 4</w:t>
      </w:r>
      <w:r w:rsidRPr="00AC5CDB">
        <w:rPr>
          <w:rFonts w:asciiTheme="majorBidi" w:eastAsia="Times New Roman" w:hAnsiTheme="majorBidi" w:cstheme="majorBidi"/>
          <w:b/>
          <w:bCs/>
          <w:color w:val="D85F05"/>
          <w:kern w:val="36"/>
          <w:sz w:val="28"/>
          <w:szCs w:val="28"/>
        </w:rPr>
        <w:br/>
        <w:t>THE USE OF DEEP-FREEZE CHESTS FOR LONG-TERM STORAGE OF SMALL SEED COLLECTIONS</w:t>
      </w:r>
      <w:bookmarkEnd w:id="0"/>
    </w:p>
    <w:p w:rsidR="00BC12E0" w:rsidRPr="00AC5CDB" w:rsidRDefault="00BC12E0" w:rsidP="00BC12E0">
      <w:pPr>
        <w:spacing w:before="100" w:beforeAutospacing="1" w:after="100" w:afterAutospacing="1" w:line="240" w:lineRule="auto"/>
        <w:jc w:val="center"/>
        <w:rPr>
          <w:rFonts w:asciiTheme="majorBidi" w:eastAsia="Times New Roman" w:hAnsiTheme="majorBidi" w:cstheme="majorBidi"/>
          <w:sz w:val="28"/>
          <w:szCs w:val="28"/>
        </w:rPr>
      </w:pPr>
      <w:r w:rsidRPr="00AC5CDB">
        <w:rPr>
          <w:rFonts w:asciiTheme="majorBidi" w:eastAsia="Times New Roman" w:hAnsiTheme="majorBidi" w:cstheme="majorBidi"/>
          <w:sz w:val="28"/>
          <w:szCs w:val="28"/>
        </w:rPr>
        <w:t>(extracted from IBPGR 1976)</w:t>
      </w:r>
    </w:p>
    <w:p w:rsidR="00BC12E0" w:rsidRPr="00AC5CDB" w:rsidRDefault="00BC12E0" w:rsidP="00BC12E0">
      <w:pPr>
        <w:spacing w:before="100" w:beforeAutospacing="1" w:after="100" w:afterAutospacing="1" w:line="240" w:lineRule="auto"/>
        <w:rPr>
          <w:rFonts w:asciiTheme="majorBidi" w:eastAsia="Times New Roman" w:hAnsiTheme="majorBidi" w:cstheme="majorBidi"/>
          <w:sz w:val="28"/>
          <w:szCs w:val="28"/>
        </w:rPr>
      </w:pPr>
      <w:r w:rsidRPr="00AC5CDB">
        <w:rPr>
          <w:rFonts w:asciiTheme="majorBidi" w:eastAsia="Times New Roman" w:hAnsiTheme="majorBidi" w:cstheme="majorBidi"/>
          <w:sz w:val="28"/>
          <w:szCs w:val="28"/>
        </w:rPr>
        <w:t>Deep-freeze chests operating at approximately -20°C, such as those used domestically, are entirely suitable for the long-term conservation of seeds. Such chests have the advantages that they are often immediately obtainable locally, and that their number could be added to as a collection increased in size.</w:t>
      </w:r>
    </w:p>
    <w:p w:rsidR="00BC12E0" w:rsidRPr="00AC5CDB" w:rsidRDefault="00BC12E0" w:rsidP="00BC12E0">
      <w:pPr>
        <w:spacing w:before="100" w:beforeAutospacing="1" w:after="100" w:afterAutospacing="1" w:line="240" w:lineRule="auto"/>
        <w:rPr>
          <w:rFonts w:asciiTheme="majorBidi" w:eastAsia="Times New Roman" w:hAnsiTheme="majorBidi" w:cstheme="majorBidi"/>
          <w:sz w:val="28"/>
          <w:szCs w:val="28"/>
        </w:rPr>
      </w:pPr>
      <w:r w:rsidRPr="00AC5CDB">
        <w:rPr>
          <w:rFonts w:asciiTheme="majorBidi" w:eastAsia="Times New Roman" w:hAnsiTheme="majorBidi" w:cstheme="majorBidi"/>
          <w:sz w:val="28"/>
          <w:szCs w:val="28"/>
        </w:rPr>
        <w:t>It has been suggested that a large seed collection could also be housed in this way. However, in terms of capital and running costs per unit volume of storage space, deep-freeze chests compare unfavourably with the smallest and most expensive cold room (85 m</w:t>
      </w:r>
      <w:r w:rsidRPr="00AC5CDB">
        <w:rPr>
          <w:rFonts w:asciiTheme="majorBidi" w:eastAsia="Times New Roman" w:hAnsiTheme="majorBidi" w:cstheme="majorBidi"/>
          <w:sz w:val="28"/>
          <w:szCs w:val="28"/>
          <w:vertAlign w:val="superscript"/>
        </w:rPr>
        <w:t>3</w:t>
      </w:r>
      <w:r w:rsidRPr="00AC5CDB">
        <w:rPr>
          <w:rFonts w:asciiTheme="majorBidi" w:eastAsia="Times New Roman" w:hAnsiTheme="majorBidi" w:cstheme="majorBidi"/>
          <w:sz w:val="28"/>
          <w:szCs w:val="28"/>
        </w:rPr>
        <w:t>) considered in this report which provides storage space at a cost of $314/m</w:t>
      </w:r>
      <w:r w:rsidRPr="00AC5CDB">
        <w:rPr>
          <w:rFonts w:asciiTheme="majorBidi" w:eastAsia="Times New Roman" w:hAnsiTheme="majorBidi" w:cstheme="majorBidi"/>
          <w:sz w:val="28"/>
          <w:szCs w:val="28"/>
          <w:vertAlign w:val="superscript"/>
        </w:rPr>
        <w:t>3</w:t>
      </w:r>
      <w:r w:rsidRPr="00AC5CDB">
        <w:rPr>
          <w:rFonts w:asciiTheme="majorBidi" w:eastAsia="Times New Roman" w:hAnsiTheme="majorBidi" w:cstheme="majorBidi"/>
          <w:sz w:val="28"/>
          <w:szCs w:val="28"/>
        </w:rPr>
        <w:t xml:space="preserve"> (including warning and safety devices). A typical chest, internal volume 0.3 m</w:t>
      </w:r>
      <w:r w:rsidRPr="00AC5CDB">
        <w:rPr>
          <w:rFonts w:asciiTheme="majorBidi" w:eastAsia="Times New Roman" w:hAnsiTheme="majorBidi" w:cstheme="majorBidi"/>
          <w:sz w:val="28"/>
          <w:szCs w:val="28"/>
          <w:vertAlign w:val="superscript"/>
        </w:rPr>
        <w:t>3</w:t>
      </w:r>
      <w:r w:rsidRPr="00AC5CDB">
        <w:rPr>
          <w:rFonts w:asciiTheme="majorBidi" w:eastAsia="Times New Roman" w:hAnsiTheme="majorBidi" w:cstheme="majorBidi"/>
          <w:sz w:val="28"/>
          <w:szCs w:val="28"/>
        </w:rPr>
        <w:t xml:space="preserve"> (13.5 ft</w:t>
      </w:r>
      <w:r w:rsidRPr="00AC5CDB">
        <w:rPr>
          <w:rFonts w:asciiTheme="majorBidi" w:eastAsia="Times New Roman" w:hAnsiTheme="majorBidi" w:cstheme="majorBidi"/>
          <w:sz w:val="28"/>
          <w:szCs w:val="28"/>
          <w:vertAlign w:val="superscript"/>
        </w:rPr>
        <w:t>3</w:t>
      </w:r>
      <w:r w:rsidRPr="00AC5CDB">
        <w:rPr>
          <w:rFonts w:asciiTheme="majorBidi" w:eastAsia="Times New Roman" w:hAnsiTheme="majorBidi" w:cstheme="majorBidi"/>
          <w:sz w:val="28"/>
          <w:szCs w:val="28"/>
        </w:rPr>
        <w:t>), would cost about $350 in Europe and provide storage space at a cost of $947/m</w:t>
      </w:r>
      <w:r w:rsidRPr="00AC5CDB">
        <w:rPr>
          <w:rFonts w:asciiTheme="majorBidi" w:eastAsia="Times New Roman" w:hAnsiTheme="majorBidi" w:cstheme="majorBidi"/>
          <w:sz w:val="28"/>
          <w:szCs w:val="28"/>
          <w:vertAlign w:val="superscript"/>
        </w:rPr>
        <w:t>3</w:t>
      </w:r>
      <w:r w:rsidRPr="00AC5CDB">
        <w:rPr>
          <w:rFonts w:asciiTheme="majorBidi" w:eastAsia="Times New Roman" w:hAnsiTheme="majorBidi" w:cstheme="majorBidi"/>
          <w:sz w:val="28"/>
          <w:szCs w:val="28"/>
        </w:rPr>
        <w:t xml:space="preserve"> (excluding warning and safety devices). In other words, on this basis deep-freeze chests are likely to cost about three times as much as cold rooms </w:t>
      </w:r>
      <w:hyperlink r:id="rId6" w:anchor="refapp4.1" w:history="1">
        <w:r w:rsidRPr="00AC5CDB">
          <w:rPr>
            <w:rFonts w:asciiTheme="majorBidi" w:eastAsia="Times New Roman" w:hAnsiTheme="majorBidi" w:cstheme="majorBidi"/>
            <w:color w:val="BB1A06"/>
            <w:sz w:val="28"/>
            <w:szCs w:val="28"/>
            <w:u w:val="single"/>
            <w:vertAlign w:val="superscript"/>
          </w:rPr>
          <w:t>1)</w:t>
        </w:r>
      </w:hyperlink>
      <w:r w:rsidRPr="00AC5CDB">
        <w:rPr>
          <w:rFonts w:asciiTheme="majorBidi" w:eastAsia="Times New Roman" w:hAnsiTheme="majorBidi" w:cstheme="majorBidi"/>
          <w:sz w:val="28"/>
          <w:szCs w:val="28"/>
        </w:rPr>
        <w:t>.</w:t>
      </w:r>
    </w:p>
    <w:p w:rsidR="00BC12E0" w:rsidRPr="00AC5CDB" w:rsidRDefault="00BC12E0" w:rsidP="00BC12E0">
      <w:pPr>
        <w:spacing w:before="100" w:beforeAutospacing="1" w:after="100" w:afterAutospacing="1" w:line="240" w:lineRule="auto"/>
        <w:rPr>
          <w:rFonts w:asciiTheme="majorBidi" w:eastAsia="Times New Roman" w:hAnsiTheme="majorBidi" w:cstheme="majorBidi"/>
          <w:sz w:val="28"/>
          <w:szCs w:val="28"/>
        </w:rPr>
      </w:pPr>
      <w:r w:rsidRPr="00AC5CDB">
        <w:rPr>
          <w:rFonts w:asciiTheme="majorBidi" w:eastAsia="Times New Roman" w:hAnsiTheme="majorBidi" w:cstheme="majorBidi"/>
          <w:sz w:val="28"/>
          <w:szCs w:val="28"/>
        </w:rPr>
        <w:t>Deep-freeze chests would be suitable for very small collections of seeds, particularly if at least one spare chest and a small standby generator were included in the facility. They could also be used as a temporary expedient while a major facility is being constructed. However, they would not seem to provide a suitable alternative to a large cold room for the long-term storage of major seed collections.</w:t>
      </w:r>
    </w:p>
    <w:p w:rsidR="00BC12E0" w:rsidRPr="00AC5CDB" w:rsidRDefault="00BC12E0" w:rsidP="00AC5CDB">
      <w:pPr>
        <w:spacing w:beforeAutospacing="1" w:after="0" w:afterAutospacing="1" w:line="240" w:lineRule="auto"/>
        <w:rPr>
          <w:rFonts w:asciiTheme="majorBidi" w:eastAsia="Times New Roman" w:hAnsiTheme="majorBidi" w:cstheme="majorBidi"/>
          <w:sz w:val="28"/>
          <w:szCs w:val="28"/>
        </w:rPr>
      </w:pPr>
      <w:bookmarkStart w:id="1" w:name="refapp4.1"/>
      <w:r w:rsidRPr="00AC5CDB">
        <w:rPr>
          <w:rFonts w:asciiTheme="majorBidi" w:eastAsia="Times New Roman" w:hAnsiTheme="majorBidi" w:cstheme="majorBidi"/>
          <w:sz w:val="28"/>
          <w:szCs w:val="28"/>
        </w:rPr>
        <w:t>1) Costs quoted in this paragraph were those applicable in 1976.</w:t>
      </w:r>
      <w:bookmarkEnd w:id="1"/>
    </w:p>
    <w:sectPr w:rsidR="00BC12E0" w:rsidRPr="00AC5CDB" w:rsidSect="004D261E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37A5" w:rsidRDefault="004E37A5" w:rsidP="00AC5CDB">
      <w:pPr>
        <w:spacing w:after="0" w:line="240" w:lineRule="auto"/>
      </w:pPr>
      <w:r>
        <w:separator/>
      </w:r>
    </w:p>
  </w:endnote>
  <w:endnote w:type="continuationSeparator" w:id="0">
    <w:p w:rsidR="004E37A5" w:rsidRDefault="004E37A5" w:rsidP="00AC5C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442860"/>
      <w:docPartObj>
        <w:docPartGallery w:val="Page Numbers (Bottom of Page)"/>
        <w:docPartUnique/>
      </w:docPartObj>
    </w:sdtPr>
    <w:sdtContent>
      <w:p w:rsidR="00AC5CDB" w:rsidRDefault="00AC5CDB">
        <w:pPr>
          <w:pStyle w:val="Footer"/>
          <w:jc w:val="center"/>
        </w:pPr>
        <w:fldSimple w:instr=" PAGE   \* MERGEFORMAT ">
          <w:r>
            <w:rPr>
              <w:noProof/>
            </w:rPr>
            <w:t>1</w:t>
          </w:r>
        </w:fldSimple>
      </w:p>
    </w:sdtContent>
  </w:sdt>
  <w:p w:rsidR="00AC5CDB" w:rsidRDefault="00AC5CD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37A5" w:rsidRDefault="004E37A5" w:rsidP="00AC5CDB">
      <w:pPr>
        <w:spacing w:after="0" w:line="240" w:lineRule="auto"/>
      </w:pPr>
      <w:r>
        <w:separator/>
      </w:r>
    </w:p>
  </w:footnote>
  <w:footnote w:type="continuationSeparator" w:id="0">
    <w:p w:rsidR="004E37A5" w:rsidRDefault="004E37A5" w:rsidP="00AC5CD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4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C12E0"/>
    <w:rsid w:val="00000DD5"/>
    <w:rsid w:val="000157CC"/>
    <w:rsid w:val="00027E2B"/>
    <w:rsid w:val="000322CF"/>
    <w:rsid w:val="00036ABD"/>
    <w:rsid w:val="00044D59"/>
    <w:rsid w:val="000460D3"/>
    <w:rsid w:val="00055DE4"/>
    <w:rsid w:val="00061800"/>
    <w:rsid w:val="00062783"/>
    <w:rsid w:val="0007365C"/>
    <w:rsid w:val="00077EF4"/>
    <w:rsid w:val="0009139D"/>
    <w:rsid w:val="000A451F"/>
    <w:rsid w:val="000A65F2"/>
    <w:rsid w:val="000B3067"/>
    <w:rsid w:val="000B42C0"/>
    <w:rsid w:val="000B6AFD"/>
    <w:rsid w:val="000D1DE2"/>
    <w:rsid w:val="000D631D"/>
    <w:rsid w:val="00103FF4"/>
    <w:rsid w:val="001138FA"/>
    <w:rsid w:val="00126CC7"/>
    <w:rsid w:val="001314C5"/>
    <w:rsid w:val="001400F7"/>
    <w:rsid w:val="00155FA5"/>
    <w:rsid w:val="00160662"/>
    <w:rsid w:val="00171D0E"/>
    <w:rsid w:val="00171EEB"/>
    <w:rsid w:val="00173461"/>
    <w:rsid w:val="00173609"/>
    <w:rsid w:val="00174FE5"/>
    <w:rsid w:val="00184A5A"/>
    <w:rsid w:val="00184D85"/>
    <w:rsid w:val="00186BEC"/>
    <w:rsid w:val="00192A78"/>
    <w:rsid w:val="00192F24"/>
    <w:rsid w:val="001B2177"/>
    <w:rsid w:val="001B40BA"/>
    <w:rsid w:val="001B5458"/>
    <w:rsid w:val="001D2AAE"/>
    <w:rsid w:val="001E2E07"/>
    <w:rsid w:val="001E669B"/>
    <w:rsid w:val="00201ED7"/>
    <w:rsid w:val="0020453A"/>
    <w:rsid w:val="00204E12"/>
    <w:rsid w:val="00231C40"/>
    <w:rsid w:val="00235B8D"/>
    <w:rsid w:val="0026399A"/>
    <w:rsid w:val="0026413A"/>
    <w:rsid w:val="00273D39"/>
    <w:rsid w:val="00277A27"/>
    <w:rsid w:val="00280753"/>
    <w:rsid w:val="00292F88"/>
    <w:rsid w:val="00293179"/>
    <w:rsid w:val="002A3DCE"/>
    <w:rsid w:val="002A472C"/>
    <w:rsid w:val="002A5D6F"/>
    <w:rsid w:val="002A7408"/>
    <w:rsid w:val="002B3232"/>
    <w:rsid w:val="002B3240"/>
    <w:rsid w:val="002B356C"/>
    <w:rsid w:val="002C47E9"/>
    <w:rsid w:val="002F0EB6"/>
    <w:rsid w:val="002F0F27"/>
    <w:rsid w:val="002F286B"/>
    <w:rsid w:val="00305EED"/>
    <w:rsid w:val="00310A2A"/>
    <w:rsid w:val="0032240B"/>
    <w:rsid w:val="00326256"/>
    <w:rsid w:val="0033127B"/>
    <w:rsid w:val="00357D82"/>
    <w:rsid w:val="003763EE"/>
    <w:rsid w:val="003812C4"/>
    <w:rsid w:val="00383C37"/>
    <w:rsid w:val="003950C1"/>
    <w:rsid w:val="003954DF"/>
    <w:rsid w:val="003A14BB"/>
    <w:rsid w:val="003A543E"/>
    <w:rsid w:val="003B1FAF"/>
    <w:rsid w:val="003C75B6"/>
    <w:rsid w:val="003C7D03"/>
    <w:rsid w:val="003D194C"/>
    <w:rsid w:val="003D4E30"/>
    <w:rsid w:val="003E0E32"/>
    <w:rsid w:val="003F5FB3"/>
    <w:rsid w:val="003F6FE3"/>
    <w:rsid w:val="004103BF"/>
    <w:rsid w:val="00425F96"/>
    <w:rsid w:val="00427EBC"/>
    <w:rsid w:val="004421AD"/>
    <w:rsid w:val="00447D55"/>
    <w:rsid w:val="00473097"/>
    <w:rsid w:val="00475C42"/>
    <w:rsid w:val="00482433"/>
    <w:rsid w:val="004841A5"/>
    <w:rsid w:val="00485DB4"/>
    <w:rsid w:val="00491342"/>
    <w:rsid w:val="004C120D"/>
    <w:rsid w:val="004D261E"/>
    <w:rsid w:val="004E0BD9"/>
    <w:rsid w:val="004E37A5"/>
    <w:rsid w:val="004E6DCC"/>
    <w:rsid w:val="004F0430"/>
    <w:rsid w:val="004F1EF2"/>
    <w:rsid w:val="00501FF4"/>
    <w:rsid w:val="005030D3"/>
    <w:rsid w:val="005032E7"/>
    <w:rsid w:val="005035BE"/>
    <w:rsid w:val="005052CE"/>
    <w:rsid w:val="0050725F"/>
    <w:rsid w:val="005418D5"/>
    <w:rsid w:val="00546C91"/>
    <w:rsid w:val="005521D6"/>
    <w:rsid w:val="00552CAC"/>
    <w:rsid w:val="00553E56"/>
    <w:rsid w:val="0055603E"/>
    <w:rsid w:val="00556112"/>
    <w:rsid w:val="005631C8"/>
    <w:rsid w:val="00574AF3"/>
    <w:rsid w:val="00590C63"/>
    <w:rsid w:val="00592AB8"/>
    <w:rsid w:val="005975C9"/>
    <w:rsid w:val="005A13CC"/>
    <w:rsid w:val="005A671A"/>
    <w:rsid w:val="005B0F92"/>
    <w:rsid w:val="005C6B93"/>
    <w:rsid w:val="005D03FC"/>
    <w:rsid w:val="005D0CCF"/>
    <w:rsid w:val="005D46D2"/>
    <w:rsid w:val="005D5E8E"/>
    <w:rsid w:val="005D7268"/>
    <w:rsid w:val="005E0DA4"/>
    <w:rsid w:val="005E2877"/>
    <w:rsid w:val="005F1C87"/>
    <w:rsid w:val="005F3401"/>
    <w:rsid w:val="005F42B0"/>
    <w:rsid w:val="005F6ED0"/>
    <w:rsid w:val="006001BE"/>
    <w:rsid w:val="0060467F"/>
    <w:rsid w:val="00606B8D"/>
    <w:rsid w:val="00637554"/>
    <w:rsid w:val="006720DF"/>
    <w:rsid w:val="00673E26"/>
    <w:rsid w:val="006753BF"/>
    <w:rsid w:val="00675A5C"/>
    <w:rsid w:val="0068259A"/>
    <w:rsid w:val="006907A1"/>
    <w:rsid w:val="00690F5A"/>
    <w:rsid w:val="006A656F"/>
    <w:rsid w:val="006B1916"/>
    <w:rsid w:val="006B4E0F"/>
    <w:rsid w:val="006C12EC"/>
    <w:rsid w:val="006C6ECF"/>
    <w:rsid w:val="006D6657"/>
    <w:rsid w:val="006E1BAC"/>
    <w:rsid w:val="006E24F3"/>
    <w:rsid w:val="00706BEC"/>
    <w:rsid w:val="0070706F"/>
    <w:rsid w:val="007205F6"/>
    <w:rsid w:val="00722BEB"/>
    <w:rsid w:val="00726A1B"/>
    <w:rsid w:val="00736663"/>
    <w:rsid w:val="00742AB4"/>
    <w:rsid w:val="00745EB8"/>
    <w:rsid w:val="0075401A"/>
    <w:rsid w:val="00761B26"/>
    <w:rsid w:val="00762D07"/>
    <w:rsid w:val="00765866"/>
    <w:rsid w:val="007906DB"/>
    <w:rsid w:val="007B2905"/>
    <w:rsid w:val="007C25D0"/>
    <w:rsid w:val="007E0162"/>
    <w:rsid w:val="007E3838"/>
    <w:rsid w:val="007E78AB"/>
    <w:rsid w:val="007F681F"/>
    <w:rsid w:val="00801A46"/>
    <w:rsid w:val="00811AA9"/>
    <w:rsid w:val="00812BB1"/>
    <w:rsid w:val="008153E5"/>
    <w:rsid w:val="00825714"/>
    <w:rsid w:val="00830E69"/>
    <w:rsid w:val="00831A0E"/>
    <w:rsid w:val="00833646"/>
    <w:rsid w:val="00835812"/>
    <w:rsid w:val="00844BA2"/>
    <w:rsid w:val="00862384"/>
    <w:rsid w:val="008626C2"/>
    <w:rsid w:val="008642E3"/>
    <w:rsid w:val="008715F8"/>
    <w:rsid w:val="0087620F"/>
    <w:rsid w:val="0087675A"/>
    <w:rsid w:val="00876FE6"/>
    <w:rsid w:val="0088183D"/>
    <w:rsid w:val="008917A3"/>
    <w:rsid w:val="00894959"/>
    <w:rsid w:val="00897792"/>
    <w:rsid w:val="008A79EF"/>
    <w:rsid w:val="008B3366"/>
    <w:rsid w:val="008B4B03"/>
    <w:rsid w:val="008C0403"/>
    <w:rsid w:val="008E0DD9"/>
    <w:rsid w:val="008E1EDC"/>
    <w:rsid w:val="008E7498"/>
    <w:rsid w:val="008F03BA"/>
    <w:rsid w:val="008F3BF0"/>
    <w:rsid w:val="009030FD"/>
    <w:rsid w:val="00906DEA"/>
    <w:rsid w:val="00911CF9"/>
    <w:rsid w:val="009149F7"/>
    <w:rsid w:val="00935DE6"/>
    <w:rsid w:val="009360C0"/>
    <w:rsid w:val="0095155F"/>
    <w:rsid w:val="0095548B"/>
    <w:rsid w:val="009666FE"/>
    <w:rsid w:val="00971505"/>
    <w:rsid w:val="00973074"/>
    <w:rsid w:val="00973E08"/>
    <w:rsid w:val="00975B63"/>
    <w:rsid w:val="00981100"/>
    <w:rsid w:val="00995C16"/>
    <w:rsid w:val="00996849"/>
    <w:rsid w:val="009A09C0"/>
    <w:rsid w:val="009A5A8D"/>
    <w:rsid w:val="009B64CE"/>
    <w:rsid w:val="009D0093"/>
    <w:rsid w:val="009D7D5D"/>
    <w:rsid w:val="009E1522"/>
    <w:rsid w:val="009E5A48"/>
    <w:rsid w:val="009F5CB6"/>
    <w:rsid w:val="00A065C5"/>
    <w:rsid w:val="00A11078"/>
    <w:rsid w:val="00A15D03"/>
    <w:rsid w:val="00A17723"/>
    <w:rsid w:val="00A253B3"/>
    <w:rsid w:val="00A313B0"/>
    <w:rsid w:val="00A3253A"/>
    <w:rsid w:val="00A4568C"/>
    <w:rsid w:val="00AA4501"/>
    <w:rsid w:val="00AA465F"/>
    <w:rsid w:val="00AB69DC"/>
    <w:rsid w:val="00AC5CDB"/>
    <w:rsid w:val="00AC607A"/>
    <w:rsid w:val="00AC735B"/>
    <w:rsid w:val="00AD01C9"/>
    <w:rsid w:val="00AD6108"/>
    <w:rsid w:val="00AD6E7A"/>
    <w:rsid w:val="00AF68A2"/>
    <w:rsid w:val="00B00F8A"/>
    <w:rsid w:val="00B02167"/>
    <w:rsid w:val="00B07E8F"/>
    <w:rsid w:val="00B21448"/>
    <w:rsid w:val="00B24148"/>
    <w:rsid w:val="00B314BA"/>
    <w:rsid w:val="00B5160F"/>
    <w:rsid w:val="00B55E9E"/>
    <w:rsid w:val="00B57795"/>
    <w:rsid w:val="00B652ED"/>
    <w:rsid w:val="00B66D0E"/>
    <w:rsid w:val="00B66F98"/>
    <w:rsid w:val="00B676EF"/>
    <w:rsid w:val="00B751CF"/>
    <w:rsid w:val="00B75D9A"/>
    <w:rsid w:val="00B75DBD"/>
    <w:rsid w:val="00B84FA7"/>
    <w:rsid w:val="00B9429D"/>
    <w:rsid w:val="00B969C7"/>
    <w:rsid w:val="00BA141C"/>
    <w:rsid w:val="00BA7C77"/>
    <w:rsid w:val="00BB1464"/>
    <w:rsid w:val="00BB2211"/>
    <w:rsid w:val="00BB5EE4"/>
    <w:rsid w:val="00BC12E0"/>
    <w:rsid w:val="00BC156E"/>
    <w:rsid w:val="00BC18F4"/>
    <w:rsid w:val="00BC55B2"/>
    <w:rsid w:val="00BE4386"/>
    <w:rsid w:val="00C11721"/>
    <w:rsid w:val="00C13F5F"/>
    <w:rsid w:val="00C173CD"/>
    <w:rsid w:val="00C305CA"/>
    <w:rsid w:val="00C33C7B"/>
    <w:rsid w:val="00C3606F"/>
    <w:rsid w:val="00C46267"/>
    <w:rsid w:val="00C47A34"/>
    <w:rsid w:val="00C5206F"/>
    <w:rsid w:val="00C52AE4"/>
    <w:rsid w:val="00C534C4"/>
    <w:rsid w:val="00C65682"/>
    <w:rsid w:val="00C726B3"/>
    <w:rsid w:val="00C73E20"/>
    <w:rsid w:val="00C75ADD"/>
    <w:rsid w:val="00C770F9"/>
    <w:rsid w:val="00C82608"/>
    <w:rsid w:val="00C96E4C"/>
    <w:rsid w:val="00CA386A"/>
    <w:rsid w:val="00CA72E4"/>
    <w:rsid w:val="00CC1ED1"/>
    <w:rsid w:val="00CC7F9D"/>
    <w:rsid w:val="00CD243D"/>
    <w:rsid w:val="00CE3AE2"/>
    <w:rsid w:val="00CE7420"/>
    <w:rsid w:val="00CF06AE"/>
    <w:rsid w:val="00CF44DF"/>
    <w:rsid w:val="00D03480"/>
    <w:rsid w:val="00D140B8"/>
    <w:rsid w:val="00D17CD1"/>
    <w:rsid w:val="00D301BC"/>
    <w:rsid w:val="00D40913"/>
    <w:rsid w:val="00D44DE4"/>
    <w:rsid w:val="00D54BB4"/>
    <w:rsid w:val="00D74DCC"/>
    <w:rsid w:val="00D86ADA"/>
    <w:rsid w:val="00D87085"/>
    <w:rsid w:val="00DA399F"/>
    <w:rsid w:val="00DA4967"/>
    <w:rsid w:val="00DA58E3"/>
    <w:rsid w:val="00DA7A1A"/>
    <w:rsid w:val="00DC172D"/>
    <w:rsid w:val="00DC5390"/>
    <w:rsid w:val="00DC5C78"/>
    <w:rsid w:val="00DD0F3C"/>
    <w:rsid w:val="00DD447E"/>
    <w:rsid w:val="00DE67A7"/>
    <w:rsid w:val="00DF0D7B"/>
    <w:rsid w:val="00DF4389"/>
    <w:rsid w:val="00E11897"/>
    <w:rsid w:val="00E509E6"/>
    <w:rsid w:val="00E7355F"/>
    <w:rsid w:val="00E753F8"/>
    <w:rsid w:val="00E763E3"/>
    <w:rsid w:val="00E77502"/>
    <w:rsid w:val="00E8384D"/>
    <w:rsid w:val="00E85095"/>
    <w:rsid w:val="00E85DA2"/>
    <w:rsid w:val="00E85F20"/>
    <w:rsid w:val="00E91735"/>
    <w:rsid w:val="00E92FFD"/>
    <w:rsid w:val="00EA4496"/>
    <w:rsid w:val="00EA6AEC"/>
    <w:rsid w:val="00EB0109"/>
    <w:rsid w:val="00EB1D30"/>
    <w:rsid w:val="00EB281F"/>
    <w:rsid w:val="00EC1AA8"/>
    <w:rsid w:val="00EC39EE"/>
    <w:rsid w:val="00ED0FCF"/>
    <w:rsid w:val="00ED1619"/>
    <w:rsid w:val="00ED28E1"/>
    <w:rsid w:val="00ED50A3"/>
    <w:rsid w:val="00EE6520"/>
    <w:rsid w:val="00EF57A7"/>
    <w:rsid w:val="00F14239"/>
    <w:rsid w:val="00F217F4"/>
    <w:rsid w:val="00F2181C"/>
    <w:rsid w:val="00F23278"/>
    <w:rsid w:val="00F23C3A"/>
    <w:rsid w:val="00F3076F"/>
    <w:rsid w:val="00F36E1B"/>
    <w:rsid w:val="00F45A70"/>
    <w:rsid w:val="00F47E35"/>
    <w:rsid w:val="00F618DA"/>
    <w:rsid w:val="00F72A1C"/>
    <w:rsid w:val="00F81C9F"/>
    <w:rsid w:val="00F830A3"/>
    <w:rsid w:val="00F84BEB"/>
    <w:rsid w:val="00F853A0"/>
    <w:rsid w:val="00F8633B"/>
    <w:rsid w:val="00F931C0"/>
    <w:rsid w:val="00F95384"/>
    <w:rsid w:val="00FA582E"/>
    <w:rsid w:val="00FB0F8A"/>
    <w:rsid w:val="00FC2E94"/>
    <w:rsid w:val="00FC3522"/>
    <w:rsid w:val="00FC3587"/>
    <w:rsid w:val="00FC442F"/>
    <w:rsid w:val="00FC78B1"/>
    <w:rsid w:val="00FD6718"/>
    <w:rsid w:val="00FF58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261E"/>
  </w:style>
  <w:style w:type="paragraph" w:styleId="Heading1">
    <w:name w:val="heading 1"/>
    <w:basedOn w:val="Normal"/>
    <w:link w:val="Heading1Char"/>
    <w:uiPriority w:val="9"/>
    <w:qFormat/>
    <w:rsid w:val="00BC12E0"/>
    <w:pPr>
      <w:spacing w:before="100" w:beforeAutospacing="1" w:after="100" w:afterAutospacing="1" w:line="240" w:lineRule="auto"/>
      <w:jc w:val="center"/>
      <w:outlineLvl w:val="0"/>
    </w:pPr>
    <w:rPr>
      <w:rFonts w:ascii="Arial" w:eastAsia="Times New Roman" w:hAnsi="Arial" w:cs="Arial"/>
      <w:b/>
      <w:bCs/>
      <w:color w:val="D85F05"/>
      <w:kern w:val="36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C12E0"/>
    <w:rPr>
      <w:rFonts w:ascii="Arial" w:eastAsia="Times New Roman" w:hAnsi="Arial" w:cs="Arial"/>
      <w:b/>
      <w:bCs/>
      <w:color w:val="D85F05"/>
      <w:kern w:val="36"/>
      <w:sz w:val="32"/>
      <w:szCs w:val="32"/>
    </w:rPr>
  </w:style>
  <w:style w:type="paragraph" w:styleId="NormalWeb">
    <w:name w:val="Normal (Web)"/>
    <w:basedOn w:val="Normal"/>
    <w:uiPriority w:val="99"/>
    <w:semiHidden/>
    <w:unhideWhenUsed/>
    <w:rsid w:val="00BC12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BC12E0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12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12E0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AC5CD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C5CDB"/>
  </w:style>
  <w:style w:type="paragraph" w:styleId="Footer">
    <w:name w:val="footer"/>
    <w:basedOn w:val="Normal"/>
    <w:link w:val="FooterChar"/>
    <w:uiPriority w:val="99"/>
    <w:unhideWhenUsed/>
    <w:rsid w:val="00AC5CD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C5CD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fao.org/DOCREP/006/AD232E/AD232E17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244</Words>
  <Characters>1392</Characters>
  <Application>Microsoft Office Word</Application>
  <DocSecurity>0</DocSecurity>
  <Lines>11</Lines>
  <Paragraphs>3</Paragraphs>
  <ScaleCrop>false</ScaleCrop>
  <Company>AgriSite</Company>
  <LinksUpToDate>false</LinksUpToDate>
  <CharactersWithSpaces>1633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DrShaabanian</dc:creator>
  <cp:keywords/>
  <dc:description/>
  <cp:lastModifiedBy>MRT</cp:lastModifiedBy>
  <cp:revision>2</cp:revision>
  <dcterms:created xsi:type="dcterms:W3CDTF">2011-10-20T16:37:00Z</dcterms:created>
  <dcterms:modified xsi:type="dcterms:W3CDTF">2011-10-20T19:24:00Z</dcterms:modified>
</cp:coreProperties>
</file>